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4.jpeg" ContentType="image/jpeg"/>
  <Override PartName="/word/media/image2.png" ContentType="image/png"/>
  <Override PartName="/word/media/image1.wmf" ContentType="image/x-w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Национальная ассоциация участников фондового рынка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129090, г. Москва, 1-й Коптельский пр., д. 18, стр.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Об обеспечении соответствия требованиям Указания № 5809-У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Сопроводительное письмо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Настоящим </w:t>
      </w:r>
      <w:r>
        <w:rPr>
          <w:rFonts w:cs="Times New Roman" w:ascii="Times New Roman" w:hAnsi="Times New Roman"/>
          <w:sz w:val="24"/>
          <w:szCs w:val="24"/>
          <w:lang w:val="ru-RU"/>
        </w:rPr>
        <w:t>ООО «Финансовые Интеллектуальные Системы»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являющееся обладателем исключительных прав на программу для электронных вычислительных машин ФИНИС Комплекс/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AISFin Complex, </w:t>
      </w:r>
      <w:r>
        <w:rPr>
          <w:rFonts w:cs="Times New Roman" w:ascii="Times New Roman" w:hAnsi="Times New Roman"/>
          <w:sz w:val="24"/>
          <w:szCs w:val="24"/>
          <w:lang w:val="ru-RU"/>
        </w:rPr>
        <w:t>Свидетельство о государственной  регистрации №</w:t>
      </w:r>
      <w:r>
        <w:rPr>
          <w:rFonts w:cs="Times New Roman" w:ascii="Times New Roman" w:hAnsi="Times New Roman"/>
          <w:sz w:val="24"/>
          <w:szCs w:val="24"/>
          <w:lang w:val="en-US"/>
        </w:rPr>
        <w:t>2021617247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,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предоставляет в Национальную ассоциацию участников фондового рынка информацию о соответствии программы автоследования </w:t>
      </w:r>
      <w:r>
        <w:rPr>
          <w:rFonts w:cs="Times New Roman" w:ascii="Times New Roman" w:hAnsi="Times New Roman"/>
          <w:sz w:val="24"/>
          <w:szCs w:val="24"/>
          <w:lang w:val="en-US"/>
        </w:rPr>
        <w:t>ФИНИС Комплекс/AISFin Complex</w:t>
      </w:r>
      <w:r>
        <w:rPr>
          <w:rFonts w:cs="Times New Roman" w:ascii="Times New Roman" w:hAnsi="Times New Roman"/>
          <w:sz w:val="24"/>
          <w:szCs w:val="24"/>
        </w:rPr>
        <w:t xml:space="preserve">,  аккредитованной НАУФОР </w:t>
      </w:r>
      <w:r>
        <w:rPr>
          <w:rFonts w:cs="Times New Roman" w:ascii="Times New Roman" w:hAnsi="Times New Roman"/>
          <w:sz w:val="24"/>
          <w:szCs w:val="24"/>
          <w:lang w:val="en-US"/>
        </w:rPr>
        <w:t>25.08.2021</w:t>
      </w:r>
      <w:r>
        <w:rPr>
          <w:rFonts w:cs="Times New Roman" w:ascii="Times New Roman" w:hAnsi="Times New Roman"/>
          <w:sz w:val="24"/>
          <w:szCs w:val="24"/>
        </w:rPr>
        <w:t>, требованиям, установленным Указанием Банка России от 03.06.2021 № 5809-У «О требованиях к программам для электронных вычислительных машин, используемым для оказания услуг по инвестиционному консультированию».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ru-RU"/>
        </w:rPr>
        <w:t>Генеральный директор ООО «ФИНИС»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900" w:footer="0" w:bottom="1143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>Спирягина Елена Васильевна</w:t>
      </w:r>
    </w:p>
    <w:p>
      <w:pPr>
        <w:pStyle w:val="ConsPlusNormal"/>
        <w:ind w:firstLine="54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Cs w:val="22"/>
        </w:rPr>
        <w:t xml:space="preserve">к письму «Об обеспечении соответствия требованиям Указания </w:t>
      </w:r>
      <w:r>
        <w:rPr>
          <w:rFonts w:cs="Times New Roman" w:ascii="Times New Roman" w:hAnsi="Times New Roman"/>
          <w:sz w:val="20"/>
        </w:rPr>
        <w:t>№ 5809-У»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 соответствии программы автоследования / автоконсультирования ФИНИС </w:t>
      </w:r>
      <w:r>
        <w:rPr>
          <w:rFonts w:cs="Times New Roman" w:ascii="Times New Roman" w:hAnsi="Times New Roman"/>
          <w:b/>
          <w:sz w:val="24"/>
          <w:szCs w:val="24"/>
        </w:rPr>
        <w:t>К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омплекс</w:t>
      </w:r>
      <w:r>
        <w:rPr>
          <w:rFonts w:cs="Times New Roman" w:ascii="Times New Roman" w:hAnsi="Times New Roman"/>
          <w:b/>
          <w:sz w:val="24"/>
          <w:szCs w:val="24"/>
        </w:rPr>
        <w:t>/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AISFin Co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mplex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 </w:t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требованиям, установленным Указанием № 5809-У</w:t>
      </w:r>
      <w:r>
        <w:rPr>
          <w:rStyle w:val="Style16"/>
          <w:rStyle w:val="Style16"/>
          <w:rFonts w:cs="Times New Roman" w:ascii="Times New Roman" w:hAnsi="Times New Roman"/>
          <w:b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ConsPlusNormal"/>
        <w:numPr>
          <w:ilvl w:val="0"/>
          <w:numId w:val="1"/>
        </w:numPr>
        <w:spacing w:before="220" w:after="0"/>
        <w:jc w:val="both"/>
        <w:rPr/>
      </w:pPr>
      <w:bookmarkStart w:id="0" w:name="P15"/>
      <w:bookmarkEnd w:id="0"/>
      <w:r>
        <w:rPr>
          <w:rFonts w:cs="Times New Roman" w:ascii="Times New Roman" w:hAnsi="Times New Roman"/>
          <w:sz w:val="24"/>
          <w:szCs w:val="24"/>
        </w:rPr>
        <w:t>Программа для электронных вычислительных машин ФИНИС Комплекс/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AISFin Complex </w:t>
      </w:r>
      <w:r>
        <w:rPr>
          <w:rFonts w:cs="Times New Roman" w:ascii="Times New Roman" w:hAnsi="Times New Roman"/>
          <w:sz w:val="24"/>
          <w:szCs w:val="24"/>
        </w:rPr>
        <w:t xml:space="preserve">(далее - программа), предназначенная для использования по оказанию услуг автоматического исполнения ИИР Инвестиционными Советниками, с </w:t>
      </w:r>
      <w:r>
        <w:rPr>
          <w:rFonts w:cs="Times New Roman" w:ascii="Times New Roman" w:hAnsi="Times New Roman"/>
          <w:sz w:val="24"/>
          <w:szCs w:val="24"/>
          <w:lang w:val="en-US"/>
        </w:rPr>
        <w:t>25.08.2021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обеспечивает следующее:</w:t>
      </w:r>
    </w:p>
    <w:tbl>
      <w:tblPr>
        <w:tblStyle w:val="a3"/>
        <w:tblW w:w="14182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1"/>
        <w:gridCol w:w="5637"/>
        <w:gridCol w:w="7774"/>
      </w:tblGrid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№</w:t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Cs w:val="22"/>
              </w:rPr>
              <w:t>Требование  Указания № 5809-У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Подтверждение обеспечения требования</w:t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Предоставление индивидуальных инвестиционных рекомендаций (ИИР) в отношении ценных бумаг, сделок с ними и (или) заключения договоров, являющихся производными финансовыми инструментами, </w:t>
            </w:r>
            <w:bookmarkStart w:id="1" w:name="__DdeLink__846_685559406"/>
            <w:r>
              <w:rPr>
                <w:rFonts w:cs="Times New Roman" w:ascii="Times New Roman" w:hAnsi="Times New Roman"/>
                <w:szCs w:val="22"/>
              </w:rPr>
              <w:t>в соответствии с инвестиционным профилем клиента инвестиционного советника</w:t>
            </w:r>
            <w:bookmarkEnd w:id="1"/>
            <w:r>
              <w:rPr>
                <w:rFonts w:cs="Times New Roman" w:ascii="Times New Roman" w:hAnsi="Times New Roman"/>
                <w:szCs w:val="22"/>
              </w:rPr>
              <w:t xml:space="preserve"> (далее - клиент), определенным инвестиционным советником в порядке, установленном Банком России на основании </w:t>
            </w:r>
            <w:hyperlink r:id="rId2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пункта 2 статьи 6.2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Федерального закона № 39-ФЗ</w:t>
            </w:r>
            <w:r>
              <w:rPr>
                <w:rStyle w:val="Style16"/>
                <w:rStyle w:val="Style16"/>
                <w:rFonts w:cs="Times New Roman" w:ascii="Times New Roman" w:hAnsi="Times New Roman"/>
                <w:szCs w:val="22"/>
              </w:rPr>
              <w:footnoteReference w:id="3"/>
            </w:r>
            <w:r>
              <w:rPr>
                <w:rFonts w:cs="Times New Roman" w:ascii="Times New Roman" w:hAnsi="Times New Roman"/>
                <w:szCs w:val="22"/>
              </w:rPr>
              <w:t xml:space="preserve"> (далее - инвестиционный профиль клиента).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Передача лицензии на использование Программы возможна только  Инвестиционным Советникам,  </w:t>
            </w:r>
            <w:r>
              <w:rPr>
                <w:rFonts w:cs="Times New Roman" w:ascii="Times New Roman" w:hAnsi="Times New Roman"/>
                <w:lang w:val="ru-RU"/>
              </w:rPr>
              <w:t>включенными в единый реестр Банка России</w:t>
            </w:r>
            <w:r>
              <w:rPr>
                <w:rFonts w:cs="Times New Roman" w:ascii="Times New Roman" w:hAnsi="Times New Roman"/>
              </w:rPr>
              <w:t xml:space="preserve">. Использование программы лицами не являющимися профучастниками недопустима. Механизм, обеспечивающий соответствие ИИР инвестиционному профилю клиента, предусматривает формализацию требований к Программе со стороны Инвестиционного Советника до начала ее внедрения и использования, </w:t>
            </w:r>
            <w:r>
              <w:rPr>
                <w:rFonts w:cs="Times New Roman" w:ascii="Times New Roman" w:hAnsi="Times New Roman"/>
                <w:szCs w:val="22"/>
              </w:rPr>
              <w:t>в соответствии с инвестиционным профилем клиента инвестиционного советника</w:t>
            </w:r>
            <w:r>
              <w:rPr>
                <w:rFonts w:cs="Times New Roman" w:ascii="Times New Roman" w:hAnsi="Times New Roman"/>
              </w:rPr>
              <w:t xml:space="preserve">. Необходимые механизмы соответствия отражены в документе, содержащем описание механизма работы программы, информацию для установки и настройки программы, предоставленном в НАУФОР в рамках процедуры аккредитации от </w:t>
            </w:r>
            <w:r>
              <w:rPr>
                <w:rFonts w:cs="Times New Roman" w:ascii="Times New Roman" w:hAnsi="Times New Roman"/>
                <w:lang w:val="en-US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.08.2021</w:t>
            </w:r>
            <w:r>
              <w:rPr>
                <w:rFonts w:cs="Times New Roman" w:ascii="Times New Roman" w:hAnsi="Times New Roman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Ведение учета в электронном виде действий клиента, инвестиционного советника, являющегося индивидуальным предпринимателем, работников инвестиционного советника (далее при совместном упоминании - пользователи программы) при предоставлении индивидуальной инвестиционной рекомендации и определении инвестиционного профиля клиента (в случае если программа позволяет определять инвестиционный профиль клиента).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Учет в электронном виде действий пользователей программы обеспечен логированием с детализацией, позволяющей получить информацию о времени и параметрах совершенных операций. К формам логирования относится журнал сформированных ИИР для каждого клиента Инвестиционного Советника с необходимыми параметрами, и журнал фактического исполнения ИИР. 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Программа учитывает, хранит и при необходимости передает Инвестиционному Советнику информацию о действиях пользователя о входах, выходах, вводах и выводах средств и других действиях клиента. </w:t>
            </w:r>
            <w:r>
              <w:rPr>
                <w:rFonts w:cs="Times New Roman" w:ascii="Times New Roman" w:hAnsi="Times New Roman"/>
                <w:szCs w:val="22"/>
              </w:rPr>
              <w:t>В случае наличия во внутренних нормативах Инвестиционного Советника дополнительных отчетных форм, программа имеет механизм ведения подобного учета. Программа не позволяет самостоятельно определять инвестиционный профиль (ИИП) клиента. ИИП клиента формируется Советником.</w:t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Возможность обработки инвестиционным советником, являющимся индивидуальным предпринимателем, работниками инвестиционного советника информации об учете действий, указанных в </w:t>
            </w:r>
            <w:hyperlink w:anchor="P17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подпункте 1.2</w:t>
              </w:r>
            </w:hyperlink>
            <w:r>
              <w:rPr>
                <w:rFonts w:cs="Times New Roman" w:ascii="Times New Roman" w:hAnsi="Times New Roman"/>
                <w:szCs w:val="22"/>
              </w:rPr>
              <w:t>.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Программа обеспечивает хранение в базах данных программы, отвечающих за хранение позиций ценных бумаг, денежных остатках и информации о действиях пользователей программы за обговоренный ограниченный промежуток времени до передачи информации на дальнейшее архивное хранение Инвестиционному Советнику или клиенту. В случае необходимости доступ к базам данных предоставляется при обусловленных правах представителей Инвестиционного Советника, либо представителей регулятора по запросу.</w:t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Формирование журналов (протоколов) о ранее предоставленных посредством программы индивидуальных инвестиционных рекомендациях, содержащих сведения, позволяющие осуществить ознакомление инвестиционного советника, являющегося индивидуальным предпринимателем, работников инвестиционного советника, а также служащих Банка России с содержанием данных индивидуальных инвестиционных рекомендаций.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 xml:space="preserve">Механизм предоставления доступа к данным ИИР и скриншоты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интерфейса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 xml:space="preserve"> предоставлены в рамках процедуры аккредитации, где описана и возможность предоставления экспорта ИИР в файлы стандартного представления электронных таблиц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(приложение)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 xml:space="preserve">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Данные механизмы предназначены для использования инвестиционным советником либо регулятором.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 xml:space="preserve"> 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52705</wp:posOffset>
                  </wp:positionV>
                  <wp:extent cx="4923790" cy="1118235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79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</w:tc>
      </w:tr>
      <w:tr>
        <w:trPr>
          <w:trHeight w:val="2390" w:hRule="atLeast"/>
        </w:trPr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Предотвращение неправомерного использования программы лицами, не являющимися ее пользователями.</w:t>
            </w:r>
          </w:p>
        </w:tc>
        <w:tc>
          <w:tcPr>
            <w:tcW w:w="7774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Соответствие требованиям обеспечено следующими мерами: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разъяснение  рисков неправомерного / несанкционированного доступа </w:t>
            </w:r>
            <w:r>
              <w:rPr>
                <w:rFonts w:cs="Times New Roman" w:ascii="Times New Roman" w:hAnsi="Times New Roman"/>
                <w:i w:val="false"/>
                <w:iCs w:val="false"/>
                <w:lang w:val="ru-RU"/>
              </w:rPr>
              <w:t>к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информации в программе по согласованию с Инвестиционным Советником;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защита физического доступа к программе на уровне внутренних регламентов Инвестиционных Советников, включая определение ответственных лиц и их норм допуска;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 xml:space="preserve">защита доступа к каналам связи на уровне логирования </w:t>
            </w:r>
            <w:r>
              <w:rPr>
                <w:rFonts w:cs="Times New Roman" w:ascii="Times New Roman" w:hAnsi="Times New Roman"/>
                <w:i w:val="false"/>
                <w:iCs w:val="false"/>
                <w:szCs w:val="22"/>
                <w:lang w:val="en-US"/>
              </w:rPr>
              <w:t>AISFin Complex</w:t>
            </w: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;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аутентификация и регистрация в программе для совершения действий;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используются средства криптографической защиты информации;</w:t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Предотвращение возможности несанкционированного внесения изменений в работу программы.</w:t>
            </w:r>
          </w:p>
        </w:tc>
        <w:tc>
          <w:tcPr>
            <w:tcW w:w="7774" w:type="dxa"/>
            <w:vMerge w:val="continue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Возможность резервного копирования содержащихся в программе сведений на электронные, оптические или иные носители информации, а также восстановления в программе данных сведений с указанных носителей.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В программу заложены средства резервного хранения копий баз данных и журналов с заданной периодичностью;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Для формирования отчетных форм Советника Программа предполагает настройку периодичности РК и передачу согласованно необходимых журналов и баз данных в места хранения  данных Инвестиционного Советника, будь то облачные или физические хранилища. Возможность восстановления данных из резервных копий на внешних носителях также обеспечена средствами программы.</w:t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В программе должны содержаться следующие сведения: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назначении и области применения программы;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функционале программы;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механизме работы программы;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видах тестирования программы, проведенного правообладателем программы и (или) лицензиатом (сублицензиатом) программы на предмет ее соответствия требованиям настоящего Указания (далее - тестирование), перечне элементов программы, в отношении которой было проведено тестирование, датах и результатах тестирования - в случае проведения тестирования.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Программа может ретранслировать и отображать для клиента сформированную Инвестиционным Советником информацию об инвестиционном профиле клиента, необходимых отчетных форм и журналов, а также другой информации в соответствии с требованиями регуляторов рынка и внутренних документов Инвестиционного Советника.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50165</wp:posOffset>
                  </wp:positionV>
                  <wp:extent cx="4923790" cy="2758440"/>
                  <wp:effectExtent l="0" t="0" r="0" b="0"/>
                  <wp:wrapNone/>
                  <wp:docPr id="2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790" cy="275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Сведения об инвестиционном профиле клиента.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Программа не является программой автоконсультирования. В Программе предусмотрена возможность отображения для клиента информации об инвестиционном профиле клиента, необходимых отчетных форм и журналов, а также другой информации в соответствии с требованиями регуляторов рынка, полученных от Инвестиционного Советника.  Отображение и ретрансляция производится после получения этой информации от Инвестиционного Советника, в случае предоставления Программы непосредственно Клиенту.</w:t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Формирование журналов (протоколов) о поручениях брокеру, преобразованных программой автоследования из индивидуальных инвестиционных рекомендаций, содержащих сведения, позволяющие осуществить ознакомление пользователей программы, а также служащих Банка России с содержанием указанных индивидуальных инвестиционных рекомендаций и поручений брокеру, преобразованных программой автоследования из указанных индивидуальных инвестиционных рекомендаций, включая указание на полное или сокращенное (при наличии) фирменное наименование данного брокера.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При создании поручения брокеру преобразованных программой автоследования из индивидуальных инвестиционных рекомендаций происходит формирование журналов, которые позволяют ознакомиться с ними представителю Инвестиционного Советника и предоставить эти журналы для ознакомления служащим Банка России. Скриншоты интерфейса предоставлены НАУФОР в рамках процедуры аккредитации. Предоставленный формат журналов может быть снабжен наименованием брокера и иными необходимыми атрибутами в соответствии с нормативными требованиями, а также внутренними регламентами Инвестиционного Советника.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tabs>
                <w:tab w:val="clear" w:pos="708"/>
                <w:tab w:val="left" w:pos="425" w:leader="none"/>
              </w:tabs>
              <w:spacing w:lineRule="auto" w:line="240" w:before="0" w:after="0"/>
              <w:ind w:left="3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Предоставление клиенту при использовании им программы для получения услуг по инвестиционному консультированию сведений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том, что программа аккредитована саморегулируемой организацией НАУФОР в порядке, установленном Банком России на основании </w:t>
            </w:r>
            <w:hyperlink r:id="rId5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пункта 6 статьи 6.2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Федерального закона № 39-ФЗ;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полном и сокращенном (при наличии) наименовании, номере контактного телефона, адресе официального сайта в информационно-телекоммуникационной сети «Интернет» саморегулируемой организации НАУФОР, осуществившей аккредитацию;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об условиях и порядке преобразования предоставленной индивидуальной инвестиционной рекомендации в поручение брокеру на совершение сделки с ценной бумагой и (или) на заключение договора, являющегося производным финансовым инструментом, предусмотренных указанной индивидуальной инвестиционной рекомендацией, (далее - поручение брокеру) </w:t>
            </w:r>
            <w:r>
              <w:rPr>
                <w:rFonts w:cs="Times New Roman" w:ascii="Times New Roman" w:hAnsi="Times New Roman"/>
                <w:b/>
                <w:i/>
                <w:szCs w:val="22"/>
              </w:rPr>
              <w:t>{для программ автоследования}</w:t>
            </w:r>
            <w:r>
              <w:rPr>
                <w:rFonts w:cs="Times New Roman" w:ascii="Times New Roman" w:hAnsi="Times New Roman"/>
                <w:szCs w:val="22"/>
              </w:rPr>
              <w:t>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рисках клиентов, связанных с использованием программ для оказания услуг по инвестиционному консультированию, включая риски, связанные с преобразованием предоставленной индивидуальной инвестиционной рекомендации в поручение брокеру (для программ автоследования), а также риски, связанные с нарушением непрерывности функционирования программы 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об отсутствии иных, помимо взаимодействия клиента с инвестиционным советником посредством программы, способов взаимодействия клиента с инвестиционным советником при оказании им услуг по инвестиционному консультированию </w:t>
            </w:r>
            <w:r>
              <w:rPr>
                <w:rFonts w:cs="Times New Roman" w:ascii="Times New Roman" w:hAnsi="Times New Roman"/>
                <w:b/>
                <w:i/>
                <w:szCs w:val="22"/>
              </w:rPr>
              <w:t>{при отсутствии указанных иных способов взаимодействия клиента с инвестиционным советником при оказании им услуг по инвестиционному консультированию}</w:t>
            </w:r>
            <w:r>
              <w:rPr>
                <w:rFonts w:cs="Times New Roman" w:ascii="Times New Roman" w:hAnsi="Times New Roman"/>
                <w:szCs w:val="22"/>
              </w:rPr>
              <w:t>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сроке действия индивидуальной инвестиционной рекомендации </w:t>
            </w:r>
            <w:r>
              <w:rPr>
                <w:rFonts w:cs="Times New Roman" w:ascii="Times New Roman" w:hAnsi="Times New Roman"/>
                <w:b/>
                <w:i/>
                <w:szCs w:val="22"/>
              </w:rPr>
              <w:t>{если указанный срок установлен в договоре об инвестиционном консультировании или определяется в соответствии с его условиями; если указанный срок предусмотрен в индивидуальной инвестиционной рекомендации или данной индивидуальной инвестиционной рекомендацией предусмотрен порядок определения данного срока}.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Подтверждение клиентом при использовании им программы для получения услуг по инвестиционному консультированию ознакомления с информацией, указанной в настоящем пункте выше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Программа не является программой автоконсультирования.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Предоставление клиенту сведений при получения услуг по инвестиционному консультированию осуществляется путем размещения сведений в интерфейсе средств коммуникации Инвестиционного Советника со своими клиентами, на сайте Советника, или в личных кабинетах, при формировании Советниками инвестиционных профилей и стратегий клиента, при заключении договоров с клиентами. 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При ознакомлении клиента со сформированной инвестиционной стратегией клиенты уведомляются о самом факте использовании Программы и о рисках точности использования стратегий, в том числе в соответствии с требованиями регулятора к предоставлению подобных услуг.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После формирования Инвестиционным Советником инвестиционных профилей клиента и необходимой публичной информации, Отображение необходимой информации происходит при запуске программы во вкладках «Риски» и  «Профиль клиента». Вкладки могут быть переименованы в соответствии с изменениями и дополнениями предоставляемой информации. 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Вкладка «Риски» предоставляет необходимую информацию и предлагает подтвердить клиента что он с ней ознакомлен, в противном случае происходит разлогинивание и программа становится недоступной для использования.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74930</wp:posOffset>
                  </wp:positionV>
                  <wp:extent cx="3929380" cy="2210435"/>
                  <wp:effectExtent l="0" t="0" r="0" b="0"/>
                  <wp:wrapNone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380" cy="22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43815</wp:posOffset>
                  </wp:positionV>
                  <wp:extent cx="3811270" cy="2143760"/>
                  <wp:effectExtent l="0" t="0" r="0" b="0"/>
                  <wp:wrapNone/>
                  <wp:docPr id="4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/>
        <w:tc>
          <w:tcPr>
            <w:tcW w:w="77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37" w:type="dxa"/>
            <w:tcBorders/>
            <w:shd w:fill="auto" w:val="clear"/>
          </w:tcPr>
          <w:p>
            <w:pPr>
              <w:pStyle w:val="ConsPlusNormal"/>
              <w:tabs>
                <w:tab w:val="clear" w:pos="708"/>
                <w:tab w:val="left" w:pos="991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Подтверждение клиентом при использовании им программы для получения услуг по инвестиционному консультированию ознакомления с информацией, содержащей: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706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описание рисков, связанных с заключением договоров, являющихся производными финансовыми инструментами, не подлежащих судебной защите в соответствии с </w:t>
            </w:r>
            <w:hyperlink r:id="rId8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пунктом 2 статьи 1062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ГК РФ</w:t>
            </w:r>
            <w:r>
              <w:rPr>
                <w:rStyle w:val="Style16"/>
                <w:rStyle w:val="Style16"/>
                <w:rFonts w:cs="Times New Roman" w:ascii="Times New Roman" w:hAnsi="Times New Roman"/>
                <w:szCs w:val="22"/>
              </w:rPr>
              <w:footnoteReference w:id="4"/>
            </w:r>
            <w:r>
              <w:rPr>
                <w:rFonts w:cs="Times New Roman" w:ascii="Times New Roman" w:hAnsi="Times New Roman"/>
                <w:szCs w:val="22"/>
              </w:rPr>
              <w:t>, - в случаях, когда в соответствии с требованиями абзаца второго пункта 3.5 Указания № 5014-У</w:t>
            </w:r>
            <w:r>
              <w:rPr>
                <w:rStyle w:val="Style16"/>
                <w:rStyle w:val="Style16"/>
                <w:rFonts w:cs="Times New Roman" w:ascii="Times New Roman" w:hAnsi="Times New Roman"/>
                <w:szCs w:val="22"/>
              </w:rPr>
              <w:footnoteReference w:id="5"/>
            </w:r>
            <w:r>
              <w:rPr>
                <w:rFonts w:cs="Times New Roman" w:ascii="Times New Roman" w:hAnsi="Times New Roman"/>
                <w:szCs w:val="22"/>
              </w:rPr>
              <w:t xml:space="preserve"> информация отражена в конкретной ИИР;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564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описание повышенных рисков, связанных с тем, что рекомендуемые финансовые инструменты предназначены для квалифицированных инвесторов, - в случаях, когда в соответствии с требованиями абзаца третьего пункта 3.5 Указания № 5014-У информация отражена в конкретной ИИР;</w:t>
            </w:r>
          </w:p>
          <w:p>
            <w:pPr>
              <w:pStyle w:val="ConsPlus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наличии у инвестиционного советника конфликта интересов, об общем характере и (или) источниках конфликта интересов, - в случае включения инвестиционным советником указанных сведений в индивидуальную инвестиционную рекомендацию или предоставления указанных сведений клиенту посредством программы до предоставления указанной индивидуальной инвестиционной рекомендации в соответствии с </w:t>
            </w:r>
            <w:hyperlink r:id="rId9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пунктом 3.15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Указания № 5014-У.</w:t>
            </w:r>
          </w:p>
        </w:tc>
        <w:tc>
          <w:tcPr>
            <w:tcW w:w="777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Подтверждение клиентом использования им ИИР исполняемых программой осуществляется в момент подписания договора с Инвестиционным Советником, в котором указывается факт использования Программы, ее реквизитов, и другой необходимой информации согласно требованиям Указания № 5014-У и прочих требований, регламентирующих предоставление услуг автоследования на рынке профессиональных участников, в том числе в случае использования инструментов, предназначенных для квалифицированных инвесторов. После согласования с Инвестиционным Советником описания стратегий, профилей клиентов и других необходимых нормативов Программой предусмотрена возможность транслировать и отображать данную информацию. Отображение необходимой информации происходит при запуске программы во вкладках «Риски» и  «Профиль клиента». Вкладки могут быть переименованы в соответствии с изменениями и дополнениями в предоставляемой информации.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 Вкладка «Риски» предоставляет необходимую информацию и предлагает клиенту подтвердить, что он с ней ознакомлен, в противном случае происходит разлогинивание и программа становится недоступной для использования. (см. скриншоты к п.1.11 настоящей таблицы)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</w:tc>
      </w:tr>
    </w:tbl>
    <w:p>
      <w:pPr>
        <w:pStyle w:val="ConsPlusNormal"/>
        <w:ind w:hanging="0"/>
        <w:jc w:val="both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173" w:footer="0" w:bottom="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Указание Банка России от 03.06.2021 № 5809-У «О требованиях к программам для электронных вычислительных машин, используемым для оказания услуг по инвестиционному консультированию»</w:t>
      </w:r>
    </w:p>
  </w:footnote>
  <w:footnote w:id="3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Федеральный закон от 22.04.1996 № 39-ФЗ «О рынке ценных бумаг»</w:t>
      </w:r>
    </w:p>
  </w:footnote>
  <w:footnote w:id="4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Гражданский кодекс Российской Федерации</w:t>
      </w:r>
    </w:p>
  </w:footnote>
  <w:footnote w:id="5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Указание Банка России от 17.12.2018 № 5014-У «О порядке определения инвестиционного профиля клиента инвестиционного советника, о требованиях к форме предоставления индивидуальной инвестиционной рекомендации и к осуществлению деятельности по инвестиционному консультированию»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e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214e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концевой сноски Знак"/>
    <w:basedOn w:val="DefaultParagraphFont"/>
    <w:link w:val="a4"/>
    <w:uiPriority w:val="99"/>
    <w:semiHidden/>
    <w:qFormat/>
    <w:rsid w:val="007c1685"/>
    <w:rPr>
      <w:sz w:val="20"/>
      <w:szCs w:val="20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c1685"/>
    <w:rPr>
      <w:vertAlign w:val="superscript"/>
    </w:rPr>
  </w:style>
  <w:style w:type="character" w:styleId="Style15" w:customStyle="1">
    <w:name w:val="Текст сноски Знак"/>
    <w:basedOn w:val="DefaultParagraphFont"/>
    <w:link w:val="a7"/>
    <w:uiPriority w:val="99"/>
    <w:semiHidden/>
    <w:qFormat/>
    <w:rsid w:val="007c168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1685"/>
    <w:rPr>
      <w:vertAlign w:val="superscript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5214e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214e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5214e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Cs w:val="22"/>
    </w:rPr>
  </w:style>
  <w:style w:type="character" w:styleId="Style19">
    <w:name w:val="Символ сноски"/>
    <w:qFormat/>
    <w:rPr/>
  </w:style>
  <w:style w:type="character" w:styleId="Style20">
    <w:name w:val="Символ концевой сноски"/>
    <w:qFormat/>
    <w:rPr/>
  </w:style>
  <w:style w:type="character" w:styleId="ListLabel8">
    <w:name w:val="ListLabel 8"/>
    <w:qFormat/>
    <w:rPr>
      <w:rFonts w:ascii="Times New Roman" w:hAnsi="Times New Roman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Times New Roman"/>
      <w:szCs w:val="22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  <w:szCs w:val="22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Times New Roman"/>
      <w:szCs w:val="22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Times New Roman"/>
      <w:szCs w:val="22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Times New Roman" w:hAnsi="Times New Roman" w:cs="Times New Roman"/>
      <w:szCs w:val="22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Times New Roman"/>
      <w:szCs w:val="22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Times New Roman"/>
      <w:szCs w:val="22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imes New Roman" w:hAnsi="Times New Roman" w:cs="Times New Roman"/>
      <w:szCs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Times New Roman" w:hAnsi="Times New Roman" w:cs="Times New Roman"/>
      <w:szCs w:val="22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Times New Roman"/>
      <w:szCs w:val="22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Times New Roman" w:hAnsi="Times New Roman" w:cs="Times New Roman"/>
      <w:szCs w:val="22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 w:cs="Times New Roman"/>
      <w:szCs w:val="22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Times New Roman" w:hAnsi="Times New Roman" w:cs="Times New Roman"/>
      <w:szCs w:val="22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Times New Roman"/>
      <w:szCs w:val="22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Times New Roman" w:hAnsi="Times New Roman" w:cs="Times New Roman"/>
      <w:szCs w:val="22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747e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747e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b747ee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6">
    <w:name w:val="Endnote Text"/>
    <w:basedOn w:val="Normal"/>
    <w:link w:val="a5"/>
    <w:uiPriority w:val="99"/>
    <w:semiHidden/>
    <w:unhideWhenUsed/>
    <w:rsid w:val="007c1685"/>
    <w:pPr>
      <w:spacing w:lineRule="auto" w:line="240" w:before="0" w:after="0"/>
    </w:pPr>
    <w:rPr>
      <w:sz w:val="20"/>
      <w:szCs w:val="20"/>
    </w:rPr>
  </w:style>
  <w:style w:type="paragraph" w:styleId="Style27">
    <w:name w:val="Footnote Text"/>
    <w:basedOn w:val="Normal"/>
    <w:link w:val="a8"/>
    <w:uiPriority w:val="99"/>
    <w:semiHidden/>
    <w:unhideWhenUsed/>
    <w:rsid w:val="007c168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214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21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D45174DAD13BECE4A584832F88F16517C7730E43A2DDC13A4F80DE8567993A26FAA5E0E07243E2535D8DF950D81276DE3EDA6C14D5AO2o8O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hyperlink" Target="consultantplus://offline/ref=ED45174DAD13BECE4A584832F88F16517C7730E43A2DDC13A4F80DE8567993A26FAA5E0E07253B2535D8DF950D81276DE3EDA6C14D5AO2o8O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yperlink" Target="consultantplus://offline/ref=ED45174DAD13BECE4A584832F88F16517C7730EC3C2FDC13A4F80DE8567993A26FAA5E0D0D26317A30CDCECD028B3172E0F1BAC34FO5o9O" TargetMode="External"/><Relationship Id="rId9" Type="http://schemas.openxmlformats.org/officeDocument/2006/relationships/hyperlink" Target="consultantplus://offline/ref=ED45174DAD13BECE4A584832F88F16517C7E31EA3A2EDC13A4F80DE8567993A26FAA5E0D05243A286382CF9144D62271EAF1B9C1535A2961O8oFO" TargetMode="Externa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1051-CDFF-48F6-B549-4D114F81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Application>LibreOffice/6.1.4.2$Windows_x86 LibreOffice_project/9d0f32d1f0b509096fd65e0d4bec26ddd1938fd3</Application>
  <Pages>7</Pages>
  <Words>1736</Words>
  <Characters>13590</Characters>
  <CharactersWithSpaces>15265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2022-02-07T14:24:00Z</dcterms:created>
  <dc:creator>evseeva</dc:creator>
  <dc:description/>
  <dc:language>ru-RU</dc:language>
  <cp:lastModifiedBy/>
  <dcterms:modified xsi:type="dcterms:W3CDTF">2022-10-14T11:22:33Z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